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autoSpaceDE w:val="0"/>
        <w:autoSpaceDN/>
        <w:spacing w:after="2" w:afterAutospacing="0" w:line="560" w:lineRule="exact"/>
        <w:jc w:val="both"/>
        <w:rPr>
          <w:rFonts w:hint="eastAsia" w:ascii="方正小标宋简体" w:hAnsi="方正小标宋简体" w:eastAsia="方正小标宋简体" w:cs="方正小标宋简体"/>
          <w:kern w:val="2"/>
          <w:sz w:val="44"/>
          <w:szCs w:val="44"/>
        </w:rPr>
      </w:pPr>
    </w:p>
    <w:p>
      <w:pPr>
        <w:keepNext w:val="0"/>
        <w:keepLines w:val="0"/>
        <w:widowControl w:val="0"/>
        <w:suppressLineNumbers w:val="0"/>
        <w:autoSpaceDE w:val="0"/>
        <w:autoSpaceDN/>
        <w:spacing w:after="2" w:afterAutospacing="0" w:line="560" w:lineRule="exact"/>
        <w:ind w:right="0" w:rightChars="0"/>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 xml:space="preserve"> 2021年度部门决算表</w:t>
      </w:r>
    </w:p>
    <w:p>
      <w:pPr>
        <w:pStyle w:val="26"/>
        <w:spacing w:before="0" w:beforeAutospacing="0" w:after="2"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79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9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002"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997" w:type="pct"/>
            <w:gridSpan w:val="4"/>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1002"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收入 </w:t>
            </w:r>
          </w:p>
        </w:tc>
        <w:tc>
          <w:tcPr>
            <w:tcW w:w="2500"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行次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金额 </w:t>
            </w:r>
          </w:p>
        </w:tc>
        <w:tc>
          <w:tcPr>
            <w:tcW w:w="149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行次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79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149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79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一、一般公共预算财政拨款收入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2214.38 </w:t>
            </w: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一、一般公共服务支出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2240.98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二、政府性基金预算财政拨款收入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二、外交支出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三、国有资本经营预算财政拨款收入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三、国防支出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四、上级补助收入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四、公共安全支出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五、事业收入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五、教育支出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六、经营收入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六、科学技术支出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七、附属单位上缴收入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七、文化旅游体育与传媒支出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6" w:hRule="atLeast"/>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八、其他收入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八、社会保障和就业支出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九、卫生健康支出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十、节能环保支出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十一、城乡社区支出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十二、农林水支出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十三、交通运输支出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十四、资源勘探工业信息等支出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十五、商业服务业等支出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十六、金融支出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十七、援助其他地区支出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十八、自然资源海洋气象等支出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十九、住房保障支出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二十、粮油物资储备支出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二十一、国有资本经营预算支出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二十二、灾害防治及应急管理支出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23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二十三、其他支出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24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二十四、债务还本支出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25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二十五、债务付息支出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26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二十六、抗疫特别国债安排的支出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本年收入合计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27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2214.38 </w:t>
            </w:r>
          </w:p>
        </w:tc>
        <w:tc>
          <w:tcPr>
            <w:tcW w:w="149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本年支出合计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使用非财政拨款结余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28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结余分配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年初结转和结余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29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325.37</w:t>
            </w: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年末结转和结余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497"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61 </w:t>
            </w:r>
          </w:p>
        </w:tc>
        <w:tc>
          <w:tcPr>
            <w:tcW w:w="799"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总计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149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总计 </w:t>
            </w:r>
          </w:p>
        </w:tc>
        <w:tc>
          <w:tcPr>
            <w:tcW w:w="20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62 </w:t>
            </w:r>
          </w:p>
        </w:tc>
        <w:tc>
          <w:tcPr>
            <w:tcW w:w="79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2539.75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注：本表反映部门本年度的总收支和年末结转结余情况。本表金额转换为万元时，因四舍五入可能存在尾数误差。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4"/>
        <w:gridCol w:w="474"/>
        <w:gridCol w:w="475"/>
        <w:gridCol w:w="3089"/>
        <w:gridCol w:w="2085"/>
        <w:gridCol w:w="1524"/>
        <w:gridCol w:w="1524"/>
        <w:gridCol w:w="1524"/>
        <w:gridCol w:w="1546"/>
        <w:gridCol w:w="1780"/>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963"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65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7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7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7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7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033"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964" w:type="pct"/>
            <w:gridSpan w:val="9"/>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1033"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4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963"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65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本年收入合计 </w:t>
            </w:r>
          </w:p>
        </w:tc>
        <w:tc>
          <w:tcPr>
            <w:tcW w:w="475"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财政拨款收入 </w:t>
            </w:r>
          </w:p>
        </w:tc>
        <w:tc>
          <w:tcPr>
            <w:tcW w:w="475"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上级补助收入 </w:t>
            </w:r>
          </w:p>
        </w:tc>
        <w:tc>
          <w:tcPr>
            <w:tcW w:w="475"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事业收入 </w:t>
            </w:r>
          </w:p>
        </w:tc>
        <w:tc>
          <w:tcPr>
            <w:tcW w:w="479"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经营收入 </w:t>
            </w:r>
          </w:p>
        </w:tc>
        <w:tc>
          <w:tcPr>
            <w:tcW w:w="555"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附属单位上缴收入 </w:t>
            </w:r>
          </w:p>
        </w:tc>
        <w:tc>
          <w:tcPr>
            <w:tcW w:w="478"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4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963"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65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8"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4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963"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65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8"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4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963"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65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5"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78"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48"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类 </w:t>
            </w:r>
          </w:p>
        </w:tc>
        <w:tc>
          <w:tcPr>
            <w:tcW w:w="148"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款 </w:t>
            </w:r>
          </w:p>
        </w:tc>
        <w:tc>
          <w:tcPr>
            <w:tcW w:w="148"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 </w:t>
            </w:r>
          </w:p>
        </w:tc>
        <w:tc>
          <w:tcPr>
            <w:tcW w:w="963"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47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55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c>
          <w:tcPr>
            <w:tcW w:w="478"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8"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48"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48"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963"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2214.38</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2214.38</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一般公共服务支出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2002.31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2002.31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1" w:hRule="atLeast"/>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纪检监察事务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2002.31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2002.31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2011101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行政运行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1393.52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1393.52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2011102</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一般行政管理事务</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33.68</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33.68</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jc w:val="lef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 xml:space="preserve">2011104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大案要案查处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201.64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201.64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2011106</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巡视工作</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134.34</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134.34</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2011199</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其他纪检监察事务</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239.13</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239.13</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社会保障和就业支出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98.97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98.97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行政事业单位养老支出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97.65</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97.65</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2080505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机关事业单位基本养老保险缴费支出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97.65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97.65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抚恤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2080801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死亡抚恤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卫生健康支出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43.5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43.5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行政事业单位医疗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43.5</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43.5</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2101101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行政单位医疗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43.5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43.5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住房保障支出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69.6</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69.6</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住房改革支出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69.6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69.6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4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2210201 </w:t>
            </w:r>
          </w:p>
        </w:tc>
        <w:tc>
          <w:tcPr>
            <w:tcW w:w="96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住房公积金 </w:t>
            </w:r>
          </w:p>
        </w:tc>
        <w:tc>
          <w:tcPr>
            <w:tcW w:w="650"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69.6 </w:t>
            </w:r>
          </w:p>
        </w:tc>
        <w:tc>
          <w:tcPr>
            <w:tcW w:w="475"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69.6 </w:t>
            </w: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7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5000" w:type="pct"/>
            <w:gridSpan w:val="11"/>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注：本表反映部门本年度取得的各项收入情况。本表金额转换为万元时，因四舍五入可能存在尾数误差。 </w:t>
            </w:r>
          </w:p>
        </w:tc>
      </w:tr>
    </w:tbl>
    <w:p>
      <w:pPr>
        <w:rPr>
          <w:rFonts w:hint="eastAsia" w:ascii="等线" w:hAnsi="等线" w:eastAsia="宋体" w:cs="Times New Roman"/>
          <w:vanish/>
          <w:kern w:val="2"/>
          <w:sz w:val="24"/>
          <w:szCs w:val="24"/>
        </w:rPr>
      </w:pPr>
      <w:r>
        <w:rPr>
          <w:rFonts w:hint="eastAsia" w:ascii="等线" w:hAnsi="等线" w:eastAsia="宋体" w:cs="Times New Roman"/>
          <w:vanish/>
          <w:kern w:val="2"/>
          <w:sz w:val="24"/>
          <w:szCs w:val="24"/>
        </w:rPr>
        <w:t xml:space="preserve"> </w:t>
      </w:r>
    </w:p>
    <w:tbl>
      <w:tblPr>
        <w:tblStyle w:val="10"/>
        <w:tblW w:w="5000" w:type="pct"/>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1"/>
        <w:gridCol w:w="472"/>
        <w:gridCol w:w="478"/>
        <w:gridCol w:w="3496"/>
        <w:gridCol w:w="2364"/>
        <w:gridCol w:w="1722"/>
        <w:gridCol w:w="1735"/>
        <w:gridCol w:w="1806"/>
        <w:gridCol w:w="1739"/>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10"/>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09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73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3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41"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088"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11" w:type="pct"/>
            <w:gridSpan w:val="8"/>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1088"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43"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109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737"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本年支出合计 </w:t>
            </w:r>
          </w:p>
        </w:tc>
        <w:tc>
          <w:tcPr>
            <w:tcW w:w="537"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 </w:t>
            </w:r>
          </w:p>
        </w:tc>
        <w:tc>
          <w:tcPr>
            <w:tcW w:w="541"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 </w:t>
            </w:r>
          </w:p>
        </w:tc>
        <w:tc>
          <w:tcPr>
            <w:tcW w:w="559"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上缴上级支出 </w:t>
            </w:r>
          </w:p>
        </w:tc>
        <w:tc>
          <w:tcPr>
            <w:tcW w:w="542"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经营支出 </w:t>
            </w:r>
          </w:p>
        </w:tc>
        <w:tc>
          <w:tcPr>
            <w:tcW w:w="546"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4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09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7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1"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2"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6"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4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09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7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1"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2"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6"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43"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09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7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37"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1"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59"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2"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546"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7"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类 </w:t>
            </w:r>
          </w:p>
        </w:tc>
        <w:tc>
          <w:tcPr>
            <w:tcW w:w="147"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款 </w:t>
            </w:r>
          </w:p>
        </w:tc>
        <w:tc>
          <w:tcPr>
            <w:tcW w:w="147"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 </w:t>
            </w:r>
          </w:p>
        </w:tc>
        <w:tc>
          <w:tcPr>
            <w:tcW w:w="1090"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54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54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7"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47"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47"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090"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1930.96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608.79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一般公共服务支出</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2240.98</w:t>
            </w:r>
          </w:p>
        </w:tc>
        <w:tc>
          <w:tcPr>
            <w:tcW w:w="5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1632.19 </w:t>
            </w:r>
          </w:p>
        </w:tc>
        <w:tc>
          <w:tcPr>
            <w:tcW w:w="541"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608.79</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纪检监察事务 </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2240.98</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1632.19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608.79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2011101 </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行政运行 </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1632.19</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1632.19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2011102</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一般行政管理事务</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33.68</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33.68</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jc w:val="lef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 xml:space="preserve">2011104 </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大案要案查处 </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201.64</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201.64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2011106</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巡视工作</w:t>
            </w:r>
          </w:p>
        </w:tc>
        <w:tc>
          <w:tcPr>
            <w:tcW w:w="737"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134.34</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134.34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2011199</w:t>
            </w:r>
          </w:p>
        </w:tc>
        <w:tc>
          <w:tcPr>
            <w:tcW w:w="1090" w:type="pct"/>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其他纪检监察事务</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239.13</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239.13</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社会保障和就业支出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108.39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行政事业单位养老支出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107.07</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2080505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机关事业单位基本养老保险缴费支出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107.07</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抚恤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2080801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死亡抚恤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卫生健康支出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行政事业单位医疗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2101101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行政单位医疗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住房保障支出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住房改革支出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3"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2210201 </w:t>
            </w:r>
          </w:p>
        </w:tc>
        <w:tc>
          <w:tcPr>
            <w:tcW w:w="109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住房公积金 </w:t>
            </w:r>
          </w:p>
        </w:tc>
        <w:tc>
          <w:tcPr>
            <w:tcW w:w="7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537"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c>
          <w:tcPr>
            <w:tcW w:w="541"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2"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4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10"/>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注：本表反映部门本年度各项支出情况。本表金额转换为万元时，因四舍五入可能存在尾数误差。 </w:t>
            </w:r>
          </w:p>
        </w:tc>
      </w:tr>
    </w:tbl>
    <w:p>
      <w:pPr>
        <w:spacing w:after="2" w:afterAutospacing="0"/>
        <w:jc w:val="both"/>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3"/>
        <w:gridCol w:w="145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8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151"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66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5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911"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086" w:type="pct"/>
            <w:gridSpan w:val="7"/>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911"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收 入 </w:t>
            </w:r>
          </w:p>
        </w:tc>
        <w:tc>
          <w:tcPr>
            <w:tcW w:w="3349" w:type="pct"/>
            <w:gridSpan w:val="6"/>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行次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金额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行次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一般公共预算财政拨款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政府性基金预算财政拨款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48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1151"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664"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一、一般公共预算财政拨款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2214.38 </w:t>
            </w: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一、一般公共服务支出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33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2240.98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2240.98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二、政府性基金预算财政拨款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二、外交支出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34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三、国有资本经营财政拨款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三、国防支出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35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四、公共安全支出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36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五、教育支出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37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六、科学技术支出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38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七、文化旅游体育与传媒支出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8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八、社会保障和就业支出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40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九、卫生健康支出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41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十、节能环保支出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42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11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十一、城乡社区支出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43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十二、农林水支出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44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十三、交通运输支出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45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14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十四、资源勘探工业信息等支出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46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15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十五、商业服务业等支出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47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16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十六、金融支出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48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17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十七、援助其他地区支出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49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18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十八、自然资源海洋气象等支出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50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19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十九、住房保障支出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51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二十、粮油物资储备支出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52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二十一、国有资本经营预算支出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53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二十二、灾害防治及应急管理支出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54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23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二十三、其他支出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55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24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二十四、债务还本支出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56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25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二十五、债务付息支出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57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26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二十六、抗疫特别国债安排的支出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58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本年收入合计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27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2214.38 </w:t>
            </w:r>
          </w:p>
        </w:tc>
        <w:tc>
          <w:tcPr>
            <w:tcW w:w="1151"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本年支出合计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59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2539.75</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年初财政拨款结转和结余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28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325.37 </w:t>
            </w: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年末财政拨款结转和结余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60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一般公共预算财政拨款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29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325.37 </w:t>
            </w: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61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政府性基金预算财政拨款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62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国有资本经营预算财政拨款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51"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63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总计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32 </w:t>
            </w:r>
          </w:p>
        </w:tc>
        <w:tc>
          <w:tcPr>
            <w:tcW w:w="48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1151"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总计 </w:t>
            </w:r>
          </w:p>
        </w:tc>
        <w:tc>
          <w:tcPr>
            <w:tcW w:w="165"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64 </w:t>
            </w:r>
          </w:p>
        </w:tc>
        <w:tc>
          <w:tcPr>
            <w:tcW w:w="6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2539.75 </w:t>
            </w: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55"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注：本表反映部门本年度一般公共预算财政拨款和政府性基金预算财政拨款、国有资本经营预算财政拨款的总收支和年末结转结余情况。 本表金额转换为万元时，因四舍五入可能存在尾数误差。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5"/>
        <w:gridCol w:w="3095"/>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1"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1"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41"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682"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96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928"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1" w:type="pct"/>
            <w:gridSpan w:val="5"/>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部门：县纪委监委</w:t>
            </w:r>
          </w:p>
        </w:tc>
        <w:tc>
          <w:tcPr>
            <w:tcW w:w="1928"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2892"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24"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24"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24"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类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款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 </w:t>
            </w:r>
          </w:p>
        </w:tc>
        <w:tc>
          <w:tcPr>
            <w:tcW w:w="168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8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682"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2539.75</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1930.96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608.79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359" w:type="dxa"/>
            <w:gridSpan w:val="3"/>
            <w:tcBorders>
              <w:top w:val="single" w:color="666666" w:sz="6" w:space="0"/>
              <w:left w:val="single" w:color="666666" w:sz="6" w:space="0"/>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w:t>
            </w:r>
          </w:p>
        </w:tc>
        <w:tc>
          <w:tcPr>
            <w:tcW w:w="5400" w:type="dxa"/>
            <w:tcBorders>
              <w:top w:val="single" w:color="666666" w:sz="6" w:space="0"/>
              <w:left w:val="nil"/>
              <w:bottom w:val="single" w:color="666666" w:sz="6" w:space="0"/>
              <w:right w:val="single" w:color="666666" w:sz="6" w:space="0"/>
            </w:tcBorders>
            <w:shd w:val="clear"/>
            <w:vAlign w:val="center"/>
          </w:tcPr>
          <w:p>
            <w:pPr>
              <w:pStyle w:val="26"/>
              <w:ind w:left="0" w:leftChars="0" w:right="0" w:rightChars="0"/>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一般公共服务支出</w:t>
            </w:r>
          </w:p>
        </w:tc>
        <w:tc>
          <w:tcPr>
            <w:tcW w:w="3093" w:type="dxa"/>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2240.98</w:t>
            </w:r>
          </w:p>
        </w:tc>
        <w:tc>
          <w:tcPr>
            <w:tcW w:w="3092" w:type="dxa"/>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1632.19</w:t>
            </w:r>
          </w:p>
        </w:tc>
        <w:tc>
          <w:tcPr>
            <w:tcW w:w="3092" w:type="dxa"/>
            <w:tcBorders>
              <w:top w:val="single" w:color="666666" w:sz="6" w:space="0"/>
              <w:left w:val="nil"/>
              <w:bottom w:val="single" w:color="666666" w:sz="6" w:space="0"/>
              <w:right w:val="single" w:color="666666" w:sz="6" w:space="0"/>
            </w:tcBorders>
            <w:shd w:val="clear"/>
            <w:vAlign w:val="center"/>
          </w:tcPr>
          <w:p>
            <w:pPr>
              <w:pStyle w:val="26"/>
              <w:ind w:left="0" w:leftChars="0" w:right="0" w:rightChars="0"/>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608.79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纪检监察事务</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2240.98</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1632.19</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608.79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2011101</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行政运行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1632.19</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1632.19</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2011102</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一般行政管理事务</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33.68</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2011104</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大案要案查处</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201.64</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2011106</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巡视工作</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134.35</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2"/>
                <w:szCs w:val="22"/>
                <w:bdr w:val="none" w:color="auto" w:sz="0" w:space="0"/>
              </w:rPr>
            </w:pPr>
            <w:r>
              <w:rPr>
                <w:rFonts w:hint="eastAsia" w:ascii="宋体" w:hAnsi="宋体" w:eastAsia="宋体" w:cs="宋体"/>
                <w:kern w:val="0"/>
                <w:sz w:val="22"/>
                <w:szCs w:val="22"/>
                <w:bdr w:val="none" w:color="auto" w:sz="0" w:space="0"/>
              </w:rPr>
              <w:t>134.35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20111199</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其他纪检监察事务支出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239.13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239.13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社会保障和就业支出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108.39</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行政事业单位养老支出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2080505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机关事业单位基本养老保险缴费支出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抚恤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2080801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死亡抚恤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1.32</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1.32</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6" w:hRule="atLeast"/>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卫生健康支出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行政事业单位医疗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1" w:hRule="atLeast"/>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2101101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行政单位医疗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66.2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住房保障支出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住房改革支出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2210201 </w:t>
            </w:r>
          </w:p>
        </w:tc>
        <w:tc>
          <w:tcPr>
            <w:tcW w:w="1682"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住房公积金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124.18</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964"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注：本表反映部门本年度一般公共预算财政拨款支出情况。本表金额转换为万元时，因四舍五入可能存在尾数误差。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6"/>
        <w:gridCol w:w="1726"/>
        <w:gridCol w:w="725"/>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053"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2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82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2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366"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18"/>
                <w:szCs w:val="18"/>
                <w:bdr w:val="none" w:color="auto" w:sz="0" w:space="0"/>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32" w:type="pct"/>
            <w:gridSpan w:val="7"/>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部门：县纪委监委</w:t>
            </w:r>
          </w:p>
        </w:tc>
        <w:tc>
          <w:tcPr>
            <w:tcW w:w="1366"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18"/>
                <w:szCs w:val="18"/>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人员经费 </w:t>
            </w:r>
          </w:p>
        </w:tc>
        <w:tc>
          <w:tcPr>
            <w:tcW w:w="3182" w:type="pct"/>
            <w:gridSpan w:val="6"/>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决算数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决算数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301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工资福利支出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1408.52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302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商品和服务支出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344.5</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307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债务利息及费用支出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30101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基本工资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729.59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办公费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44.68</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30701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国内债务付息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30102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津贴补贴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印刷费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34.43</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30702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国外债务付息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30103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奖金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147.58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30203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咨询费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310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资本性支出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162.34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30106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伙食补助费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41.97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30204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手续费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房屋建筑物购建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30107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绩效工资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186.05</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30205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3.11</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办公设备购置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90.67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30108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机关事业单位基本养老保险缴费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107.07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30206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电费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6.04</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31003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专用设备购置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30109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职业年金缴费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邮电费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38.43</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31005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基础设施建设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30110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职工基本医疗保险缴费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66.2</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30208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取暖费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31006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大型修缮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30111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公务员医疗补助缴费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30209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物业管理费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信息网络及软件购置更新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30112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其他社会保障缴费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5.88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差旅费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15.89</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31008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物资储备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30113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住房公积金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124.18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因公出国（境）费用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31009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土地补偿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30114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医疗费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30213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维修（护）费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2.81</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31010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安置补助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30199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其他工资福利支出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30214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租赁费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31011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地上附着物和青苗补偿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303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对个人和家庭的补助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3.32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30215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会议费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0.91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31012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拆迁补偿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30301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离休费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30216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培训费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6.17</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31013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30302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退休费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公务接待费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11.65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31019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其他交通工具购置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30303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退职（役）费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30218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专用材料费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31021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文物和陈列品购置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30304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抚恤金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1.32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30224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被装购置费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31022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无形资产购置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30305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生活补助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2</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30225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专用燃料费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31099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其他资本性支出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30306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救济费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30226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劳务费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48.33</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399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其他支出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30307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医疗费补助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委托业务费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39906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赠与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30308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助学金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30228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工会经费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74.37 </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39907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国家赔偿费用支出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30309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奖励金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30229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福利费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39908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对民间非营利组织和群众性自治组织补贴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30310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个人农业生产补贴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30231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公务用车运行维护费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31.66</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39999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30311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代缴社会保险费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30239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其他交通费用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0.22</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30399 </w:t>
            </w: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其他对个人和家庭的补助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30240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税金及附加费用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053"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30299 </w:t>
            </w: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其他商品和服务支出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15.8</w:t>
            </w:r>
          </w:p>
        </w:tc>
        <w:tc>
          <w:tcPr>
            <w:tcW w:w="224"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828"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人员经费合计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1411.84 </w:t>
            </w:r>
          </w:p>
        </w:tc>
        <w:tc>
          <w:tcPr>
            <w:tcW w:w="2645" w:type="pct"/>
            <w:gridSpan w:val="5"/>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 xml:space="preserve">公用经费合计 </w:t>
            </w:r>
          </w:p>
        </w:tc>
        <w:tc>
          <w:tcPr>
            <w:tcW w:w="538"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b/>
                <w:bCs/>
                <w:kern w:val="0"/>
                <w:sz w:val="22"/>
                <w:szCs w:val="22"/>
                <w:bdr w:val="none" w:color="auto" w:sz="0" w:space="0"/>
              </w:rPr>
              <w:t>518.55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5000" w:type="pct"/>
            <w:gridSpan w:val="9"/>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注：本表反映部门年度一般公共预算财政拨款基本支出明细情况。本表金额转换为万元时，因四舍五入可能存在尾数误差。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41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833"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166" w:type="pct"/>
            <w:gridSpan w:val="10"/>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833"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预算数 </w:t>
            </w:r>
          </w:p>
        </w:tc>
        <w:tc>
          <w:tcPr>
            <w:tcW w:w="2500" w:type="pct"/>
            <w:gridSpan w:val="6"/>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因公出国（境）费 </w:t>
            </w:r>
          </w:p>
        </w:tc>
        <w:tc>
          <w:tcPr>
            <w:tcW w:w="1250"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公务接待费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因公出国（境）费 </w:t>
            </w:r>
          </w:p>
        </w:tc>
        <w:tc>
          <w:tcPr>
            <w:tcW w:w="1250" w:type="pct"/>
            <w:gridSpan w:val="3"/>
            <w:tcBorders>
              <w:top w:val="single" w:color="666666" w:sz="6" w:space="0"/>
              <w:left w:val="nil"/>
              <w:bottom w:val="nil"/>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公务用车购置及运行费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小计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公务用车购置费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公务用车运行费 </w:t>
            </w: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小计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公务用车购置费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公务用车运行费 </w:t>
            </w: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8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11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58</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40</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18 </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114.98</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103.33</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71.67</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31.66</w:t>
            </w:r>
          </w:p>
        </w:tc>
        <w:tc>
          <w:tcPr>
            <w:tcW w:w="416"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11.65</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6"/>
        <w:gridCol w:w="236"/>
        <w:gridCol w:w="236"/>
        <w:gridCol w:w="2034"/>
        <w:gridCol w:w="940"/>
        <w:gridCol w:w="1159"/>
        <w:gridCol w:w="1017"/>
        <w:gridCol w:w="996"/>
        <w:gridCol w:w="1018"/>
        <w:gridCol w:w="1179"/>
        <w:gridCol w:w="906"/>
        <w:gridCol w:w="941"/>
        <w:gridCol w:w="906"/>
        <w:gridCol w:w="1031"/>
        <w:gridCol w:w="1067"/>
        <w:gridCol w:w="1111"/>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17"/>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30"/>
                <w:szCs w:val="30"/>
                <w:bdr w:val="none" w:color="auto" w:sz="0" w:space="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6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6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637"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9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63"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2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13"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2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68"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8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96"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8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2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3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4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18" w:type="pct"/>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481" w:type="pct"/>
            <w:gridSpan w:val="6"/>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部门：县纪委监委</w:t>
            </w:r>
          </w:p>
        </w:tc>
        <w:tc>
          <w:tcPr>
            <w:tcW w:w="320"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13"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20"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68"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85"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96"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285"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24"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35"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49" w:type="pct"/>
            <w:tcBorders>
              <w:top w:val="nil"/>
              <w:left w:val="nil"/>
              <w:bottom w:val="single" w:color="666666" w:sz="6" w:space="0"/>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318" w:type="pct"/>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8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980"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年初结转和结余 </w:t>
            </w:r>
          </w:p>
        </w:tc>
        <w:tc>
          <w:tcPr>
            <w:tcW w:w="1003"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本年收入 </w:t>
            </w:r>
          </w:p>
        </w:tc>
        <w:tc>
          <w:tcPr>
            <w:tcW w:w="866"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本年支出 </w:t>
            </w:r>
          </w:p>
        </w:tc>
        <w:tc>
          <w:tcPr>
            <w:tcW w:w="1326" w:type="pct"/>
            <w:gridSpan w:val="4"/>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8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84"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基本支出结转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项目支出结转和结余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基本支出结转 </w:t>
            </w:r>
          </w:p>
        </w:tc>
        <w:tc>
          <w:tcPr>
            <w:tcW w:w="667" w:type="pct"/>
            <w:gridSpan w:val="2"/>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18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84"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84"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项目支出结转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项目支出结余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18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84"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84"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类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款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 </w:t>
            </w:r>
          </w:p>
        </w:tc>
        <w:tc>
          <w:tcPr>
            <w:tcW w:w="637"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296"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363"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320"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313"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320"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368"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c>
          <w:tcPr>
            <w:tcW w:w="285"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7 </w:t>
            </w:r>
          </w:p>
        </w:tc>
        <w:tc>
          <w:tcPr>
            <w:tcW w:w="296"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8 </w:t>
            </w:r>
          </w:p>
        </w:tc>
        <w:tc>
          <w:tcPr>
            <w:tcW w:w="285"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9 </w:t>
            </w:r>
          </w:p>
        </w:tc>
        <w:tc>
          <w:tcPr>
            <w:tcW w:w="324"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10 </w:t>
            </w:r>
          </w:p>
        </w:tc>
        <w:tc>
          <w:tcPr>
            <w:tcW w:w="335"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11 </w:t>
            </w:r>
          </w:p>
        </w:tc>
        <w:tc>
          <w:tcPr>
            <w:tcW w:w="34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12 </w:t>
            </w:r>
          </w:p>
        </w:tc>
        <w:tc>
          <w:tcPr>
            <w:tcW w:w="318"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637"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296"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63"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20"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13"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20"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68"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285"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296"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285"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24"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35"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49"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318" w:type="pct"/>
            <w:tcBorders>
              <w:top w:val="nil"/>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17"/>
            <w:tcBorders>
              <w:top w:val="nil"/>
              <w:left w:val="nil"/>
              <w:bottom w:val="nil"/>
              <w:right w:val="nil"/>
            </w:tcBorders>
            <w:shd w:val="clear"/>
            <w:vAlign w:val="center"/>
          </w:tcPr>
          <w:p>
            <w:pPr>
              <w:keepNext w:val="0"/>
              <w:keepLines w:val="0"/>
              <w:widowControl/>
              <w:suppressLineNumbers w:val="0"/>
              <w:jc w:val="left"/>
              <w:rPr>
                <w:rFonts w:hint="eastAsia" w:ascii="宋体" w:hAnsi="宋体" w:eastAsia="宋体" w:cs="宋体"/>
                <w:kern w:val="2"/>
                <w:sz w:val="22"/>
                <w:szCs w:val="22"/>
                <w:bdr w:val="none" w:color="auto" w:sz="0" w:space="0"/>
              </w:rPr>
            </w:pPr>
            <w:r>
              <w:rPr>
                <w:rFonts w:hint="eastAsia" w:ascii="宋体" w:hAnsi="宋体" w:eastAsia="宋体" w:cs="宋体"/>
                <w:kern w:val="2"/>
                <w:sz w:val="22"/>
                <w:szCs w:val="22"/>
                <w:bdr w:val="none" w:color="auto" w:sz="0" w:space="0"/>
              </w:rPr>
              <w:t xml:space="preserve">本单位没有政府性基金收入，也没有使用政府性基金安排的支出，故本表无数据。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after="2" w:afterAutospacing="0"/>
        <w:jc w:val="center"/>
        <w:rPr>
          <w:rFonts w:hint="eastAsia" w:ascii="等线" w:hAnsi="等线" w:eastAsia="宋体" w:cs="Times New Roman"/>
          <w:kern w:val="2"/>
          <w:sz w:val="21"/>
          <w:szCs w:val="21"/>
        </w:rPr>
      </w:pPr>
      <w:r>
        <w:rPr>
          <w:rFonts w:hint="eastAsia" w:ascii="等线" w:hAnsi="等线" w:eastAsia="宋体"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3"/>
        <w:gridCol w:w="353"/>
        <w:gridCol w:w="353"/>
        <w:gridCol w:w="4202"/>
        <w:gridCol w:w="1796"/>
        <w:gridCol w:w="1793"/>
        <w:gridCol w:w="1793"/>
        <w:gridCol w:w="1793"/>
        <w:gridCol w:w="1793"/>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40"/>
                <w:szCs w:val="40"/>
                <w:bdr w:val="none" w:color="auto" w:sz="0" w:space="0"/>
              </w:rPr>
              <w:t xml:space="preserve">国有资本经营预算财政拨款收入支出决算表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1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1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1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19" w:type="pct"/>
            <w:gridSpan w:val="2"/>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200" w:type="pct"/>
            <w:gridSpan w:val="5"/>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部门：县纪委监委 </w:t>
            </w: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nil"/>
              <w:left w:val="nil"/>
              <w:bottom w:val="nil"/>
              <w:right w:val="nil"/>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1119" w:type="pct"/>
            <w:gridSpan w:val="2"/>
            <w:tcBorders>
              <w:top w:val="nil"/>
              <w:left w:val="nil"/>
              <w:bottom w:val="single" w:color="666666" w:sz="6" w:space="0"/>
              <w:right w:val="nil"/>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0"/>
                <w:szCs w:val="20"/>
                <w:bdr w:val="none" w:color="auto" w:sz="0" w:space="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330"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科目编码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科目名称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年初结转和结余 </w:t>
            </w:r>
          </w:p>
        </w:tc>
        <w:tc>
          <w:tcPr>
            <w:tcW w:w="0" w:type="pct"/>
            <w:vMerge w:val="restart"/>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本年收入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本年支出 </w:t>
            </w:r>
          </w:p>
        </w:tc>
        <w:tc>
          <w:tcPr>
            <w:tcW w:w="1680" w:type="pct"/>
            <w:gridSpan w:val="3"/>
            <w:tcBorders>
              <w:top w:val="single" w:color="666666" w:sz="6" w:space="0"/>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330"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33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结转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330"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33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 w:hRule="atLeast"/>
          <w:jc w:val="center"/>
        </w:trPr>
        <w:tc>
          <w:tcPr>
            <w:tcW w:w="330"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33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类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款 </w:t>
            </w:r>
          </w:p>
        </w:tc>
        <w:tc>
          <w:tcPr>
            <w:tcW w:w="0" w:type="pct"/>
            <w:vMerge w:val="restar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项 </w:t>
            </w:r>
          </w:p>
        </w:tc>
        <w:tc>
          <w:tcPr>
            <w:tcW w:w="1310"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栏次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1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2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3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4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5 </w:t>
            </w:r>
          </w:p>
        </w:tc>
        <w:tc>
          <w:tcPr>
            <w:tcW w:w="559"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vAlign w:val="center"/>
          </w:tcPr>
          <w:p>
            <w:pPr>
              <w:rPr>
                <w:rFonts w:hint="default" w:ascii="Times New Roman" w:hAnsi="Times New Roman" w:cs="Times New Roman"/>
                <w:sz w:val="20"/>
                <w:szCs w:val="20"/>
              </w:rPr>
            </w:pPr>
          </w:p>
        </w:tc>
        <w:tc>
          <w:tcPr>
            <w:tcW w:w="1310" w:type="pct"/>
            <w:tcBorders>
              <w:top w:val="nil"/>
              <w:left w:val="nil"/>
              <w:bottom w:val="single" w:color="666666" w:sz="6" w:space="0"/>
              <w:right w:val="single" w:color="666666" w:sz="6" w:space="0"/>
            </w:tcBorders>
            <w:shd w:val="clear"/>
            <w:vAlign w:val="center"/>
          </w:tcPr>
          <w:p>
            <w:pPr>
              <w:pStyle w:val="26"/>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合计 </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1310" w:type="pct"/>
            <w:tcBorders>
              <w:top w:val="single" w:color="666666" w:sz="6" w:space="0"/>
              <w:left w:val="nil"/>
              <w:bottom w:val="single" w:color="666666" w:sz="6" w:space="0"/>
              <w:right w:val="single" w:color="666666" w:sz="6" w:space="0"/>
            </w:tcBorders>
            <w:shd w:val="clear"/>
            <w:vAlign w:val="center"/>
          </w:tcPr>
          <w:p>
            <w:pPr>
              <w:pStyle w:val="26"/>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c>
          <w:tcPr>
            <w:tcW w:w="559" w:type="pct"/>
            <w:tcBorders>
              <w:top w:val="single" w:color="666666" w:sz="6" w:space="0"/>
              <w:left w:val="nil"/>
              <w:bottom w:val="single" w:color="666666" w:sz="6" w:space="0"/>
              <w:right w:val="single" w:color="666666" w:sz="6" w:space="0"/>
            </w:tcBorders>
            <w:shd w:val="clear"/>
            <w:vAlign w:val="center"/>
          </w:tcPr>
          <w:p>
            <w:pPr>
              <w:pStyle w:val="26"/>
              <w:jc w:val="right"/>
              <w:rPr>
                <w:rFonts w:hint="eastAsia" w:ascii="宋体" w:hAnsi="宋体"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vAlign w:val="center"/>
          </w:tcPr>
          <w:p>
            <w:pPr>
              <w:pStyle w:val="26"/>
              <w:rPr>
                <w:rFonts w:hint="eastAsia" w:ascii="宋体" w:hAnsi="宋体" w:eastAsia="宋体" w:cs="Times New Roman"/>
                <w:kern w:val="0"/>
                <w:sz w:val="24"/>
                <w:szCs w:val="24"/>
                <w:bdr w:val="none" w:color="auto" w:sz="0" w:space="0"/>
              </w:rPr>
            </w:pPr>
            <w:r>
              <w:rPr>
                <w:rFonts w:hint="eastAsia" w:ascii="宋体" w:hAnsi="宋体" w:eastAsia="宋体" w:cs="宋体"/>
                <w:kern w:val="0"/>
                <w:sz w:val="22"/>
                <w:szCs w:val="22"/>
                <w:bdr w:val="none" w:color="auto" w:sz="0" w:space="0"/>
              </w:rPr>
              <w:t xml:space="preserve">注：本表反映部门本年度国有资本经营预算财政拨款收入、支出及结转和结余情况。本表金额转换为万元时，因四舍五入可能存在尾数误差。 </w:t>
            </w:r>
          </w:p>
        </w:tc>
      </w:tr>
    </w:tbl>
    <w:p>
      <w:pPr>
        <w:pStyle w:val="26"/>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26"/>
        <w:rPr>
          <w:rFonts w:hint="eastAsia" w:ascii="宋体" w:hAnsi="宋体" w:eastAsia="宋体" w:cs="宋体"/>
          <w:kern w:val="0"/>
          <w:sz w:val="24"/>
          <w:szCs w:val="24"/>
        </w:rPr>
      </w:pPr>
    </w:p>
    <w:p>
      <w:pPr>
        <w:pStyle w:val="26"/>
        <w:rPr>
          <w:rFonts w:hint="eastAsia" w:ascii="宋体" w:hAnsi="宋体" w:eastAsia="宋体" w:cs="宋体"/>
          <w:kern w:val="0"/>
          <w:sz w:val="24"/>
          <w:szCs w:val="24"/>
        </w:rPr>
      </w:pPr>
    </w:p>
    <w:p>
      <w:pPr>
        <w:pStyle w:val="26"/>
        <w:rPr>
          <w:rFonts w:hint="eastAsia" w:ascii="宋体" w:hAnsi="宋体" w:eastAsia="宋体" w:cs="宋体"/>
          <w:kern w:val="0"/>
          <w:sz w:val="24"/>
          <w:szCs w:val="24"/>
        </w:rPr>
      </w:pPr>
    </w:p>
    <w:p>
      <w:pPr>
        <w:pStyle w:val="26"/>
        <w:rPr>
          <w:rFonts w:hint="eastAsia" w:ascii="宋体" w:hAnsi="宋体" w:eastAsia="宋体" w:cs="宋体"/>
          <w:kern w:val="0"/>
          <w:sz w:val="24"/>
          <w:szCs w:val="24"/>
        </w:rPr>
      </w:pPr>
    </w:p>
    <w:p>
      <w:pPr>
        <w:pStyle w:val="26"/>
        <w:rPr>
          <w:rFonts w:hint="eastAsia" w:ascii="宋体" w:hAnsi="宋体" w:eastAsia="宋体" w:cs="宋体"/>
          <w:kern w:val="0"/>
          <w:sz w:val="24"/>
          <w:szCs w:val="24"/>
        </w:rPr>
      </w:pPr>
    </w:p>
    <w:p>
      <w:pPr>
        <w:pStyle w:val="26"/>
        <w:rPr>
          <w:rFonts w:hint="eastAsia" w:ascii="宋体" w:hAnsi="宋体" w:eastAsia="宋体" w:cs="宋体"/>
          <w:kern w:val="0"/>
          <w:sz w:val="24"/>
          <w:szCs w:val="24"/>
        </w:rPr>
        <w:sectPr>
          <w:pgSz w:w="16838" w:h="11906"/>
          <w:pgMar w:top="1080" w:right="400" w:bottom="1080" w:left="400" w:header="851" w:footer="992" w:gutter="0"/>
          <w:cols w:space="0" w:num="1"/>
          <w:docGrid w:type="lines" w:linePitch="160" w:charSpace="0"/>
        </w:sectPr>
      </w:pPr>
    </w:p>
    <w:p>
      <w:pPr>
        <w:keepNext w:val="0"/>
        <w:keepLines w:val="0"/>
        <w:widowControl w:val="0"/>
        <w:suppressLineNumbers w:val="0"/>
        <w:autoSpaceDE w:val="0"/>
        <w:autoSpaceDN/>
        <w:spacing w:after="2" w:afterAutospacing="0" w:line="590" w:lineRule="exact"/>
        <w:ind w:right="0" w:rightChars="0"/>
        <w:jc w:val="both"/>
        <w:rPr>
          <w:rFonts w:hint="eastAsia" w:ascii="仿宋" w:hAnsi="仿宋" w:eastAsia="仿宋" w:cs="仿宋"/>
          <w:kern w:val="2"/>
          <w:sz w:val="32"/>
          <w:szCs w:val="32"/>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auto"/>
    <w:pitch w:val="default"/>
    <w:sig w:usb0="00007A87" w:usb1="80000000" w:usb2="00000008"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803050406030204"/>
    <w:charset w:val="00"/>
    <w:family w:val="auto"/>
    <w:pitch w:val="default"/>
    <w:sig w:usb0="E00006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CC819"/>
    <w:rsid w:val="EB3F5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eastAsia" w:ascii="等线" w:hAnsi="等线" w:eastAsia="宋体"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9">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20"/>
    <w:basedOn w:val="11"/>
    <w:uiPriority w:val="0"/>
    <w:rPr>
      <w:rFonts w:hint="eastAsia" w:ascii="等线" w:hAnsi="等线" w:eastAsia="宋体" w:cs="等线"/>
      <w:b/>
      <w:bCs/>
      <w:kern w:val="2"/>
      <w:sz w:val="28"/>
      <w:szCs w:val="28"/>
    </w:rPr>
  </w:style>
  <w:style w:type="character" w:customStyle="1" w:styleId="14">
    <w:name w:val="15"/>
    <w:basedOn w:val="11"/>
    <w:uiPriority w:val="0"/>
    <w:rPr>
      <w:rFonts w:hint="default" w:ascii="Cambria" w:hAnsi="Cambria" w:eastAsia="宋体" w:cs="Times New Roman"/>
      <w:b/>
      <w:bCs/>
      <w:kern w:val="2"/>
      <w:sz w:val="24"/>
      <w:szCs w:val="24"/>
    </w:rPr>
  </w:style>
  <w:style w:type="character" w:customStyle="1" w:styleId="15">
    <w:name w:val="17"/>
    <w:basedOn w:val="11"/>
    <w:uiPriority w:val="0"/>
    <w:rPr>
      <w:rFonts w:hint="default" w:ascii="Times New Roman" w:hAnsi="Times New Roman" w:cs="Times New Roman"/>
    </w:rPr>
  </w:style>
  <w:style w:type="character" w:customStyle="1" w:styleId="16">
    <w:name w:val="24"/>
    <w:basedOn w:val="11"/>
    <w:uiPriority w:val="0"/>
    <w:rPr>
      <w:rFonts w:hint="default" w:ascii="Times New Roman" w:hAnsi="Times New Roman" w:cs="Times New Roman"/>
    </w:rPr>
  </w:style>
  <w:style w:type="character" w:customStyle="1" w:styleId="17">
    <w:name w:val="18"/>
    <w:basedOn w:val="11"/>
    <w:uiPriority w:val="0"/>
    <w:rPr>
      <w:rFonts w:hint="eastAsia" w:ascii="等线" w:hAnsi="等线" w:eastAsia="宋体" w:cs="等线"/>
      <w:b/>
      <w:bCs/>
      <w:kern w:val="44"/>
      <w:sz w:val="44"/>
      <w:szCs w:val="44"/>
    </w:rPr>
  </w:style>
  <w:style w:type="paragraph" w:customStyle="1" w:styleId="18">
    <w:name w:val="181"/>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宋体" w:cs="Times New Roman"/>
      <w:kern w:val="2"/>
      <w:sz w:val="21"/>
      <w:szCs w:val="21"/>
      <w:lang w:val="en-US" w:eastAsia="zh-CN" w:bidi="ar"/>
    </w:rPr>
  </w:style>
  <w:style w:type="paragraph" w:customStyle="1" w:styleId="19">
    <w:name w:val="pre Char"/>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20">
    <w:name w:val="19"/>
    <w:basedOn w:val="11"/>
    <w:uiPriority w:val="0"/>
    <w:rPr>
      <w:rFonts w:hint="default" w:ascii="Cambria" w:hAnsi="Cambria" w:eastAsia="宋体" w:cs="Times New Roman"/>
      <w:b/>
      <w:bCs/>
      <w:kern w:val="2"/>
      <w:sz w:val="32"/>
      <w:szCs w:val="32"/>
    </w:rPr>
  </w:style>
  <w:style w:type="character" w:customStyle="1" w:styleId="21">
    <w:name w:val="23"/>
    <w:basedOn w:val="11"/>
    <w:uiPriority w:val="0"/>
    <w:rPr>
      <w:rFonts w:hint="default" w:ascii="Courier New" w:hAnsi="Courier New" w:eastAsia="宋体" w:cs="Courier New"/>
      <w:kern w:val="2"/>
    </w:rPr>
  </w:style>
  <w:style w:type="character" w:customStyle="1" w:styleId="22">
    <w:name w:val="27"/>
    <w:basedOn w:val="11"/>
    <w:uiPriority w:val="0"/>
    <w:rPr>
      <w:rFonts w:hint="default" w:ascii="Times New Roman" w:hAnsi="Times New Roman" w:cs="Times New Roman"/>
    </w:rPr>
  </w:style>
  <w:style w:type="paragraph" w:customStyle="1" w:styleId="23">
    <w:name w:val="p Char"/>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4">
    <w:name w:val="25"/>
    <w:basedOn w:val="11"/>
    <w:uiPriority w:val="0"/>
    <w:rPr>
      <w:rFonts w:hint="default" w:ascii="Times New Roman" w:hAnsi="Times New Roman" w:cs="Times New Roman"/>
    </w:rPr>
  </w:style>
  <w:style w:type="paragraph" w:customStyle="1" w:styleId="25">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7">
    <w:name w:val="10"/>
    <w:basedOn w:val="11"/>
    <w:uiPriority w:val="0"/>
    <w:rPr>
      <w:rFonts w:hint="default" w:ascii="Times New Roman" w:hAnsi="Times New Roman" w:cs="Times New Roman"/>
    </w:rPr>
  </w:style>
  <w:style w:type="character" w:customStyle="1" w:styleId="28">
    <w:name w:val="22"/>
    <w:basedOn w:val="11"/>
    <w:uiPriority w:val="0"/>
    <w:rPr>
      <w:rFonts w:hint="default" w:ascii="Times New Roman" w:hAnsi="Times New Roman" w:cs="Times New Roman"/>
      <w:b/>
    </w:rPr>
  </w:style>
  <w:style w:type="character" w:customStyle="1" w:styleId="29">
    <w:name w:val="21"/>
    <w:basedOn w:val="11"/>
    <w:uiPriority w:val="0"/>
    <w:rPr>
      <w:rFonts w:hint="default" w:ascii="Times New Roman" w:hAnsi="Times New Roman" w:cs="Times New Roman"/>
    </w:rPr>
  </w:style>
  <w:style w:type="character" w:customStyle="1" w:styleId="30">
    <w:name w:val="28"/>
    <w:basedOn w:val="11"/>
    <w:uiPriority w:val="0"/>
    <w:rPr>
      <w:rFonts w:hint="default" w:ascii="Cambria" w:hAnsi="Cambria" w:eastAsia="宋体" w:cs="Times New Roman"/>
      <w:b/>
      <w:bCs/>
      <w:kern w:val="2"/>
      <w:sz w:val="28"/>
      <w:szCs w:val="28"/>
    </w:rPr>
  </w:style>
  <w:style w:type="character" w:customStyle="1" w:styleId="31">
    <w:name w:val="26"/>
    <w:basedOn w:val="11"/>
    <w:uiPriority w:val="0"/>
    <w:rPr>
      <w:rFonts w:hint="eastAsia" w:ascii="等线" w:hAnsi="等线" w:eastAsia="宋体" w:cs="等线"/>
      <w:b/>
      <w:bCs/>
      <w:kern w:val="2"/>
      <w:sz w:val="32"/>
      <w:szCs w:val="32"/>
    </w:rPr>
  </w:style>
  <w:style w:type="character" w:customStyle="1" w:styleId="32">
    <w:name w:val="16"/>
    <w:basedOn w:val="11"/>
    <w:uiPriority w:val="0"/>
    <w:rPr>
      <w:rFonts w:hint="default" w:ascii="Times New Roman" w:hAnsi="Times New Roman" w:cs="Times New Roman"/>
    </w:rPr>
  </w:style>
  <w:style w:type="paragraph" w:customStyle="1" w:styleId="33">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4">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Characters>11469</Characters>
  <Lines>96</Lines>
  <Paragraphs>27</Paragraphs>
  <TotalTime>2</TotalTime>
  <ScaleCrop>false</ScaleCrop>
  <LinksUpToDate>false</LinksUpToDate>
  <Application>WPS Office_11.8.2.1116_F1E327BC-269C-435d-A152-05C5408002CA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2022-09-02T11:52:27Z</dcterms:created>
  <dc:creator>ASUS</dc:creator>
  <cp:lastModifiedBy>greatwall</cp:lastModifiedBy>
  <dcterms:modified xsi:type="dcterms:W3CDTF">2022-09-02T11:54:53Z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3243A4A8637033727F7E116396267CA0</vt:lpwstr>
  </property>
</Properties>
</file>